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C2E7" w14:textId="77777777" w:rsidR="00BD43C2" w:rsidRPr="00BD43C2" w:rsidRDefault="00BD43C2" w:rsidP="00BD43C2">
      <w:pPr>
        <w:spacing w:after="120"/>
        <w:outlineLvl w:val="4"/>
        <w:rPr>
          <w:rFonts w:ascii="Helvetica Neue" w:eastAsia="Times New Roman" w:hAnsi="Helvetica Neue" w:cs="Times New Roman"/>
          <w:b/>
          <w:bCs/>
          <w:color w:val="000000"/>
          <w:sz w:val="26"/>
          <w:szCs w:val="26"/>
        </w:rPr>
      </w:pPr>
      <w:proofErr w:type="spellStart"/>
      <w:r w:rsidRPr="00BD43C2">
        <w:rPr>
          <w:rFonts w:ascii="Helvetica Neue" w:eastAsia="Times New Roman" w:hAnsi="Helvetica Neue" w:cs="Times New Roman"/>
          <w:b/>
          <w:bCs/>
          <w:color w:val="000000"/>
          <w:sz w:val="26"/>
          <w:szCs w:val="26"/>
        </w:rPr>
        <w:t>Formstack</w:t>
      </w:r>
      <w:proofErr w:type="spellEnd"/>
      <w:r w:rsidRPr="00BD43C2">
        <w:rPr>
          <w:rFonts w:ascii="Helvetica Neue" w:eastAsia="Times New Roman" w:hAnsi="Helvetica Neue" w:cs="Times New Roman"/>
          <w:b/>
          <w:bCs/>
          <w:color w:val="000000"/>
          <w:sz w:val="26"/>
          <w:szCs w:val="26"/>
        </w:rPr>
        <w:t xml:space="preserve"> Submission for form Assessment Template</w:t>
      </w:r>
    </w:p>
    <w:p w14:paraId="0B86FA4D" w14:textId="77777777" w:rsidR="00BD43C2" w:rsidRPr="00BD43C2" w:rsidRDefault="00BD43C2" w:rsidP="00BD43C2">
      <w:pPr>
        <w:rPr>
          <w:rFonts w:ascii="Helvetica Neue" w:eastAsia="Times New Roman" w:hAnsi="Helvetica Neue" w:cs="Times New Roman"/>
          <w:color w:val="000000"/>
          <w:sz w:val="18"/>
          <w:szCs w:val="18"/>
        </w:rPr>
      </w:pPr>
      <w:r w:rsidRPr="00BD43C2">
        <w:rPr>
          <w:rFonts w:ascii="Helvetica Neue" w:eastAsia="Times New Roman" w:hAnsi="Helvetica Neue" w:cs="Times New Roman"/>
          <w:i/>
          <w:iCs/>
          <w:color w:val="777777"/>
          <w:sz w:val="21"/>
          <w:szCs w:val="21"/>
        </w:rPr>
        <w:t>Submitted at 04/07/17 2:06 PM</w:t>
      </w:r>
    </w:p>
    <w:tbl>
      <w:tblPr>
        <w:tblW w:w="8550" w:type="dxa"/>
        <w:tblCellMar>
          <w:left w:w="0" w:type="dxa"/>
          <w:right w:w="0" w:type="dxa"/>
        </w:tblCellMar>
        <w:tblLook w:val="04A0" w:firstRow="1" w:lastRow="0" w:firstColumn="1" w:lastColumn="0" w:noHBand="0" w:noVBand="1"/>
      </w:tblPr>
      <w:tblGrid>
        <w:gridCol w:w="3289"/>
        <w:gridCol w:w="5261"/>
      </w:tblGrid>
      <w:tr w:rsidR="00BD43C2" w:rsidRPr="00BD43C2" w14:paraId="4F913B81" w14:textId="77777777" w:rsidTr="00BD43C2">
        <w:tc>
          <w:tcPr>
            <w:tcW w:w="0" w:type="auto"/>
            <w:shd w:val="clear" w:color="auto" w:fill="E5E5E5"/>
            <w:tcMar>
              <w:top w:w="120" w:type="dxa"/>
              <w:left w:w="120" w:type="dxa"/>
              <w:bottom w:w="120" w:type="dxa"/>
              <w:right w:w="120" w:type="dxa"/>
            </w:tcMar>
            <w:hideMark/>
          </w:tcPr>
          <w:p w14:paraId="543D2268" w14:textId="77777777" w:rsidR="00BD43C2" w:rsidRPr="00BD43C2" w:rsidRDefault="00BD43C2" w:rsidP="00BD43C2">
            <w:pPr>
              <w:rPr>
                <w:rFonts w:ascii="Helvetica Neue" w:eastAsia="Times New Roman" w:hAnsi="Helvetica Neue" w:cs="Times New Roman"/>
                <w:b/>
                <w:bCs/>
                <w:color w:val="455560"/>
                <w:sz w:val="21"/>
                <w:szCs w:val="21"/>
              </w:rPr>
            </w:pPr>
            <w:proofErr w:type="gramStart"/>
            <w:r w:rsidRPr="00BD43C2">
              <w:rPr>
                <w:rFonts w:ascii="Helvetica Neue" w:eastAsia="Times New Roman" w:hAnsi="Helvetica Neue" w:cs="Times New Roman"/>
                <w:b/>
                <w:bCs/>
                <w:color w:val="455560"/>
                <w:sz w:val="21"/>
                <w:szCs w:val="21"/>
              </w:rPr>
              <w:t>Program::</w:t>
            </w:r>
            <w:proofErr w:type="gramEnd"/>
          </w:p>
        </w:tc>
        <w:tc>
          <w:tcPr>
            <w:tcW w:w="0" w:type="auto"/>
            <w:shd w:val="clear" w:color="auto" w:fill="E5E5E5"/>
            <w:tcMar>
              <w:top w:w="120" w:type="dxa"/>
              <w:left w:w="120" w:type="dxa"/>
              <w:bottom w:w="120" w:type="dxa"/>
              <w:right w:w="120" w:type="dxa"/>
            </w:tcMar>
            <w:hideMark/>
          </w:tcPr>
          <w:p w14:paraId="485DBFBB"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Academic Advising Center</w:t>
            </w:r>
          </w:p>
        </w:tc>
      </w:tr>
      <w:tr w:rsidR="00BD43C2" w:rsidRPr="00BD43C2" w14:paraId="7175D5CC" w14:textId="77777777" w:rsidTr="00BD43C2">
        <w:tc>
          <w:tcPr>
            <w:tcW w:w="0" w:type="auto"/>
            <w:tcMar>
              <w:top w:w="120" w:type="dxa"/>
              <w:left w:w="120" w:type="dxa"/>
              <w:bottom w:w="120" w:type="dxa"/>
              <w:right w:w="120" w:type="dxa"/>
            </w:tcMar>
            <w:hideMark/>
          </w:tcPr>
          <w:p w14:paraId="11A4A426"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List each of your program's learning outcomes, and then provide a narrative and/or attach a table to describe the evidence - surveys, assignments, exams, questions, etc. - that will be used to measure each outcome.:</w:t>
            </w:r>
          </w:p>
        </w:tc>
        <w:tc>
          <w:tcPr>
            <w:tcW w:w="0" w:type="auto"/>
            <w:tcMar>
              <w:top w:w="120" w:type="dxa"/>
              <w:left w:w="120" w:type="dxa"/>
              <w:bottom w:w="120" w:type="dxa"/>
              <w:right w:w="120" w:type="dxa"/>
            </w:tcMar>
            <w:hideMark/>
          </w:tcPr>
          <w:p w14:paraId="743A08F0"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“The Academic Advising Center supports the undergraduate community through collaborative and comprehensive advising services as students explore, navigate, and graduate.” </w:t>
            </w:r>
            <w:r w:rsidRPr="00BD43C2">
              <w:rPr>
                <w:rFonts w:ascii="Helvetica Neue" w:eastAsia="Times New Roman" w:hAnsi="Helvetica Neue" w:cs="Times New Roman"/>
                <w:color w:val="455560"/>
                <w:sz w:val="21"/>
                <w:szCs w:val="21"/>
              </w:rPr>
              <w:br/>
              <w:t>(AAC Mission Statement, 2017)</w:t>
            </w:r>
            <w:r w:rsidRPr="00BD43C2">
              <w:rPr>
                <w:rFonts w:ascii="Helvetica Neue" w:eastAsia="Times New Roman" w:hAnsi="Helvetica Neue" w:cs="Times New Roman"/>
                <w:color w:val="455560"/>
                <w:sz w:val="21"/>
                <w:szCs w:val="21"/>
              </w:rPr>
              <w:br/>
              <w:t>This is accomplished through a coordinated series of programs and services aimed at specific student populations, and by providing training, professional development opportunities and technologies to advisors.</w:t>
            </w:r>
            <w:r w:rsidRPr="00BD43C2">
              <w:rPr>
                <w:rFonts w:ascii="Helvetica Neue" w:eastAsia="Times New Roman" w:hAnsi="Helvetica Neue" w:cs="Times New Roman"/>
                <w:color w:val="455560"/>
                <w:sz w:val="21"/>
                <w:szCs w:val="21"/>
              </w:rPr>
              <w:br/>
              <w:t>Advising Learning Outcomes:</w:t>
            </w:r>
            <w:r w:rsidRPr="00BD43C2">
              <w:rPr>
                <w:rFonts w:ascii="Helvetica Neue" w:eastAsia="Times New Roman" w:hAnsi="Helvetica Neue" w:cs="Times New Roman"/>
                <w:color w:val="455560"/>
                <w:sz w:val="21"/>
                <w:szCs w:val="21"/>
              </w:rPr>
              <w:br/>
              <w:t>1. Every student meets with an academic advisor at key intervals throughout their collegiate experience</w:t>
            </w:r>
            <w:r w:rsidRPr="00BD43C2">
              <w:rPr>
                <w:rFonts w:ascii="Helvetica Neue" w:eastAsia="Times New Roman" w:hAnsi="Helvetica Neue" w:cs="Times New Roman"/>
                <w:color w:val="455560"/>
                <w:sz w:val="21"/>
                <w:szCs w:val="21"/>
              </w:rPr>
              <w:br/>
              <w:t>2. Every student has a Plan to Finish that integrates their interests, strengths, and goals</w:t>
            </w:r>
            <w:r w:rsidRPr="00BD43C2">
              <w:rPr>
                <w:rFonts w:ascii="Helvetica Neue" w:eastAsia="Times New Roman" w:hAnsi="Helvetica Neue" w:cs="Times New Roman"/>
                <w:color w:val="455560"/>
                <w:sz w:val="21"/>
                <w:szCs w:val="21"/>
              </w:rPr>
              <w:br/>
              <w:t>3. Students participate in deeply engaged learning opportunities </w:t>
            </w:r>
          </w:p>
        </w:tc>
      </w:tr>
      <w:tr w:rsidR="00BD43C2" w:rsidRPr="00BD43C2" w14:paraId="3B8DE85C" w14:textId="77777777" w:rsidTr="00BD43C2">
        <w:tc>
          <w:tcPr>
            <w:tcW w:w="0" w:type="auto"/>
            <w:shd w:val="clear" w:color="auto" w:fill="E5E5E5"/>
            <w:tcMar>
              <w:top w:w="120" w:type="dxa"/>
              <w:left w:w="120" w:type="dxa"/>
              <w:bottom w:w="120" w:type="dxa"/>
              <w:right w:w="120" w:type="dxa"/>
            </w:tcMar>
            <w:hideMark/>
          </w:tcPr>
          <w:p w14:paraId="5097E1A1"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 xml:space="preserve">How will evidence be </w:t>
            </w:r>
            <w:proofErr w:type="gramStart"/>
            <w:r w:rsidRPr="00BD43C2">
              <w:rPr>
                <w:rFonts w:ascii="Helvetica Neue" w:eastAsia="Times New Roman" w:hAnsi="Helvetica Neue" w:cs="Times New Roman"/>
                <w:b/>
                <w:bCs/>
                <w:color w:val="455560"/>
                <w:sz w:val="21"/>
                <w:szCs w:val="21"/>
              </w:rPr>
              <w:t>collected?:</w:t>
            </w:r>
            <w:proofErr w:type="gramEnd"/>
          </w:p>
        </w:tc>
        <w:tc>
          <w:tcPr>
            <w:tcW w:w="0" w:type="auto"/>
            <w:shd w:val="clear" w:color="auto" w:fill="E5E5E5"/>
            <w:tcMar>
              <w:top w:w="120" w:type="dxa"/>
              <w:left w:w="120" w:type="dxa"/>
              <w:bottom w:w="120" w:type="dxa"/>
              <w:right w:w="120" w:type="dxa"/>
            </w:tcMar>
            <w:hideMark/>
          </w:tcPr>
          <w:p w14:paraId="6DB7B454"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Students are required to meet with an academic advisor at two key milestones- in their first semester of study and again prior to the end of their second year. Specific milestones are established by a university-wide committee; students are not permitted to registered until meeting with an advisor familiar with those milestones. </w:t>
            </w:r>
            <w:r w:rsidRPr="00BD43C2">
              <w:rPr>
                <w:rFonts w:ascii="Helvetica Neue" w:eastAsia="Times New Roman" w:hAnsi="Helvetica Neue" w:cs="Times New Roman"/>
                <w:color w:val="455560"/>
                <w:sz w:val="21"/>
                <w:szCs w:val="21"/>
              </w:rPr>
              <w:br/>
              <w:t>Historically, the Academic Advising Center has evaluated the success of the Mandatory Advising Programs by monitoring the academic progress of students who avail themselves of the mandatory sessions. Data from OBIA are used to track registration, retention, and degree completion.</w:t>
            </w:r>
            <w:r w:rsidRPr="00BD43C2">
              <w:rPr>
                <w:rFonts w:ascii="Helvetica Neue" w:eastAsia="Times New Roman" w:hAnsi="Helvetica Neue" w:cs="Times New Roman"/>
                <w:color w:val="455560"/>
                <w:sz w:val="21"/>
                <w:szCs w:val="21"/>
              </w:rPr>
              <w:br/>
            </w:r>
            <w:r w:rsidRPr="00BD43C2">
              <w:rPr>
                <w:rFonts w:ascii="Helvetica Neue" w:eastAsia="Times New Roman" w:hAnsi="Helvetica Neue" w:cs="Times New Roman"/>
                <w:color w:val="455560"/>
                <w:sz w:val="21"/>
                <w:szCs w:val="21"/>
              </w:rPr>
              <w:br/>
              <w:t>Overall student satisfaction with advising is assessed through a comprehensive survey developed by a subcommittee of the Undergraduate Academic Advising Committee. The instrument is administered every two to three years to a representative sampling of students. </w:t>
            </w:r>
            <w:r w:rsidRPr="00BD43C2">
              <w:rPr>
                <w:rFonts w:ascii="Helvetica Neue" w:eastAsia="Times New Roman" w:hAnsi="Helvetica Neue" w:cs="Times New Roman"/>
                <w:color w:val="455560"/>
                <w:sz w:val="21"/>
                <w:szCs w:val="21"/>
              </w:rPr>
              <w:br/>
            </w:r>
            <w:r w:rsidRPr="00BD43C2">
              <w:rPr>
                <w:rFonts w:ascii="Helvetica Neue" w:eastAsia="Times New Roman" w:hAnsi="Helvetica Neue" w:cs="Times New Roman"/>
                <w:color w:val="455560"/>
                <w:sz w:val="21"/>
                <w:szCs w:val="21"/>
              </w:rPr>
              <w:br/>
              <w:t>All program areas of the Academic Advising Center are asked to integrate identification of specific learning outcomes and meaningful assessment into their services and programs.</w:t>
            </w:r>
          </w:p>
        </w:tc>
      </w:tr>
      <w:tr w:rsidR="00BD43C2" w:rsidRPr="00BD43C2" w14:paraId="65FEF34C" w14:textId="77777777" w:rsidTr="00BD43C2">
        <w:tc>
          <w:tcPr>
            <w:tcW w:w="0" w:type="auto"/>
            <w:tcMar>
              <w:top w:w="120" w:type="dxa"/>
              <w:left w:w="120" w:type="dxa"/>
              <w:bottom w:w="120" w:type="dxa"/>
              <w:right w:w="120" w:type="dxa"/>
            </w:tcMar>
            <w:hideMark/>
          </w:tcPr>
          <w:p w14:paraId="4E17F65A"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 xml:space="preserve">Describe (or attach using the uploader below) the rubric or </w:t>
            </w:r>
            <w:r w:rsidRPr="00BD43C2">
              <w:rPr>
                <w:rFonts w:ascii="Helvetica Neue" w:eastAsia="Times New Roman" w:hAnsi="Helvetica Neue" w:cs="Times New Roman"/>
                <w:b/>
                <w:bCs/>
                <w:color w:val="455560"/>
                <w:sz w:val="21"/>
                <w:szCs w:val="21"/>
              </w:rPr>
              <w:lastRenderedPageBreak/>
              <w:t xml:space="preserve">assessment tool you will use to measure each piece of </w:t>
            </w:r>
            <w:proofErr w:type="gramStart"/>
            <w:r w:rsidRPr="00BD43C2">
              <w:rPr>
                <w:rFonts w:ascii="Helvetica Neue" w:eastAsia="Times New Roman" w:hAnsi="Helvetica Neue" w:cs="Times New Roman"/>
                <w:b/>
                <w:bCs/>
                <w:color w:val="455560"/>
                <w:sz w:val="21"/>
                <w:szCs w:val="21"/>
              </w:rPr>
              <w:t>evidence::</w:t>
            </w:r>
            <w:proofErr w:type="gramEnd"/>
          </w:p>
        </w:tc>
        <w:tc>
          <w:tcPr>
            <w:tcW w:w="0" w:type="auto"/>
            <w:tcMar>
              <w:top w:w="120" w:type="dxa"/>
              <w:left w:w="120" w:type="dxa"/>
              <w:bottom w:w="120" w:type="dxa"/>
              <w:right w:w="120" w:type="dxa"/>
            </w:tcMar>
            <w:hideMark/>
          </w:tcPr>
          <w:p w14:paraId="0852A7E0"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lastRenderedPageBreak/>
              <w:t>First Year Milestones:</w:t>
            </w:r>
            <w:r w:rsidRPr="00BD43C2">
              <w:rPr>
                <w:rFonts w:ascii="Helvetica Neue" w:eastAsia="Times New Roman" w:hAnsi="Helvetica Neue" w:cs="Times New Roman"/>
                <w:color w:val="455560"/>
                <w:sz w:val="21"/>
                <w:szCs w:val="21"/>
              </w:rPr>
              <w:br/>
              <w:t xml:space="preserve">Student knows what their advisor does and how to </w:t>
            </w:r>
            <w:r w:rsidRPr="00BD43C2">
              <w:rPr>
                <w:rFonts w:ascii="Helvetica Neue" w:eastAsia="Times New Roman" w:hAnsi="Helvetica Neue" w:cs="Times New Roman"/>
                <w:color w:val="455560"/>
                <w:sz w:val="21"/>
                <w:szCs w:val="21"/>
              </w:rPr>
              <w:lastRenderedPageBreak/>
              <w:t>contact their advisor.</w:t>
            </w:r>
            <w:r w:rsidRPr="00BD43C2">
              <w:rPr>
                <w:rFonts w:ascii="Helvetica Neue" w:eastAsia="Times New Roman" w:hAnsi="Helvetica Neue" w:cs="Times New Roman"/>
                <w:color w:val="455560"/>
                <w:sz w:val="21"/>
                <w:szCs w:val="21"/>
              </w:rPr>
              <w:br/>
              <w:t>Student understands how to generate and interpret Degree Audit.</w:t>
            </w:r>
            <w:r w:rsidRPr="00BD43C2">
              <w:rPr>
                <w:rFonts w:ascii="Helvetica Neue" w:eastAsia="Times New Roman" w:hAnsi="Helvetica Neue" w:cs="Times New Roman"/>
                <w:color w:val="455560"/>
                <w:sz w:val="21"/>
                <w:szCs w:val="21"/>
              </w:rPr>
              <w:br/>
              <w:t>Student understands the purpose of General Education requirements.</w:t>
            </w:r>
            <w:r w:rsidRPr="00BD43C2">
              <w:rPr>
                <w:rFonts w:ascii="Helvetica Neue" w:eastAsia="Times New Roman" w:hAnsi="Helvetica Neue" w:cs="Times New Roman"/>
                <w:color w:val="455560"/>
                <w:sz w:val="21"/>
                <w:szCs w:val="21"/>
              </w:rPr>
              <w:br/>
              <w:t>Student builds a class schedule that is consistent with interests, abilities, and personal situation.</w:t>
            </w:r>
            <w:r w:rsidRPr="00BD43C2">
              <w:rPr>
                <w:rFonts w:ascii="Helvetica Neue" w:eastAsia="Times New Roman" w:hAnsi="Helvetica Neue" w:cs="Times New Roman"/>
                <w:color w:val="455560"/>
                <w:sz w:val="21"/>
                <w:szCs w:val="21"/>
              </w:rPr>
              <w:br/>
              <w:t>Student understands the value of involvement.</w:t>
            </w:r>
            <w:r w:rsidRPr="00BD43C2">
              <w:rPr>
                <w:rFonts w:ascii="Helvetica Neue" w:eastAsia="Times New Roman" w:hAnsi="Helvetica Neue" w:cs="Times New Roman"/>
                <w:color w:val="455560"/>
                <w:sz w:val="21"/>
                <w:szCs w:val="21"/>
              </w:rPr>
              <w:br/>
              <w:t>Second Year Milestones:</w:t>
            </w:r>
            <w:r w:rsidRPr="00BD43C2">
              <w:rPr>
                <w:rFonts w:ascii="Helvetica Neue" w:eastAsia="Times New Roman" w:hAnsi="Helvetica Neue" w:cs="Times New Roman"/>
                <w:color w:val="455560"/>
                <w:sz w:val="21"/>
                <w:szCs w:val="21"/>
              </w:rPr>
              <w:br/>
              <w:t>Student knows how to connect to their major advisor.</w:t>
            </w:r>
            <w:r w:rsidRPr="00BD43C2">
              <w:rPr>
                <w:rFonts w:ascii="Helvetica Neue" w:eastAsia="Times New Roman" w:hAnsi="Helvetica Neue" w:cs="Times New Roman"/>
                <w:color w:val="455560"/>
                <w:sz w:val="21"/>
                <w:szCs w:val="21"/>
              </w:rPr>
              <w:br/>
              <w:t>Student knows how to declare their major.</w:t>
            </w:r>
            <w:r w:rsidRPr="00BD43C2">
              <w:rPr>
                <w:rFonts w:ascii="Helvetica Neue" w:eastAsia="Times New Roman" w:hAnsi="Helvetica Neue" w:cs="Times New Roman"/>
                <w:color w:val="455560"/>
                <w:sz w:val="21"/>
                <w:szCs w:val="21"/>
              </w:rPr>
              <w:br/>
              <w:t>Student understands curriculum and requirements for graduation.</w:t>
            </w:r>
            <w:r w:rsidRPr="00BD43C2">
              <w:rPr>
                <w:rFonts w:ascii="Helvetica Neue" w:eastAsia="Times New Roman" w:hAnsi="Helvetica Neue" w:cs="Times New Roman"/>
                <w:color w:val="455560"/>
                <w:sz w:val="21"/>
                <w:szCs w:val="21"/>
              </w:rPr>
              <w:br/>
              <w:t>Student understands how to get information about options and resources to enhance their undergraduate experience.</w:t>
            </w:r>
            <w:r w:rsidRPr="00BD43C2">
              <w:rPr>
                <w:rFonts w:ascii="Helvetica Neue" w:eastAsia="Times New Roman" w:hAnsi="Helvetica Neue" w:cs="Times New Roman"/>
                <w:color w:val="455560"/>
                <w:sz w:val="21"/>
                <w:szCs w:val="21"/>
              </w:rPr>
              <w:br/>
              <w:t>Student understands the value of co-curricular experiences.</w:t>
            </w:r>
          </w:p>
        </w:tc>
      </w:tr>
      <w:tr w:rsidR="00BD43C2" w:rsidRPr="00BD43C2" w14:paraId="7FEEA42F" w14:textId="77777777" w:rsidTr="00BD43C2">
        <w:tc>
          <w:tcPr>
            <w:tcW w:w="0" w:type="auto"/>
            <w:shd w:val="clear" w:color="auto" w:fill="E5E5E5"/>
            <w:tcMar>
              <w:top w:w="120" w:type="dxa"/>
              <w:left w:w="120" w:type="dxa"/>
              <w:bottom w:w="120" w:type="dxa"/>
              <w:right w:w="120" w:type="dxa"/>
            </w:tcMar>
            <w:hideMark/>
          </w:tcPr>
          <w:p w14:paraId="00C889EC"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lastRenderedPageBreak/>
              <w:t xml:space="preserve">Who will be assessing the </w:t>
            </w:r>
            <w:proofErr w:type="gramStart"/>
            <w:r w:rsidRPr="00BD43C2">
              <w:rPr>
                <w:rFonts w:ascii="Helvetica Neue" w:eastAsia="Times New Roman" w:hAnsi="Helvetica Neue" w:cs="Times New Roman"/>
                <w:b/>
                <w:bCs/>
                <w:color w:val="455560"/>
                <w:sz w:val="21"/>
                <w:szCs w:val="21"/>
              </w:rPr>
              <w:t>evidence?:</w:t>
            </w:r>
            <w:proofErr w:type="gramEnd"/>
          </w:p>
        </w:tc>
        <w:tc>
          <w:tcPr>
            <w:tcW w:w="0" w:type="auto"/>
            <w:shd w:val="clear" w:color="auto" w:fill="E5E5E5"/>
            <w:tcMar>
              <w:top w:w="120" w:type="dxa"/>
              <w:left w:w="120" w:type="dxa"/>
              <w:bottom w:w="120" w:type="dxa"/>
              <w:right w:w="120" w:type="dxa"/>
            </w:tcMar>
            <w:hideMark/>
          </w:tcPr>
          <w:p w14:paraId="285FD803"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All members of the AAC professional staff are involved in establishing learning outcomes, developing appropriate assessment, and integrating the results into design of future efforts.</w:t>
            </w:r>
          </w:p>
        </w:tc>
      </w:tr>
      <w:tr w:rsidR="00BD43C2" w:rsidRPr="00BD43C2" w14:paraId="55D2E9AA" w14:textId="77777777" w:rsidTr="00BD43C2">
        <w:tc>
          <w:tcPr>
            <w:tcW w:w="0" w:type="auto"/>
            <w:tcMar>
              <w:top w:w="120" w:type="dxa"/>
              <w:left w:w="120" w:type="dxa"/>
              <w:bottom w:w="120" w:type="dxa"/>
              <w:right w:w="120" w:type="dxa"/>
            </w:tcMar>
            <w:hideMark/>
          </w:tcPr>
          <w:p w14:paraId="011D9427"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 xml:space="preserve">How will you analyze and present the analysis of your </w:t>
            </w:r>
            <w:proofErr w:type="gramStart"/>
            <w:r w:rsidRPr="00BD43C2">
              <w:rPr>
                <w:rFonts w:ascii="Helvetica Neue" w:eastAsia="Times New Roman" w:hAnsi="Helvetica Neue" w:cs="Times New Roman"/>
                <w:b/>
                <w:bCs/>
                <w:color w:val="455560"/>
                <w:sz w:val="21"/>
                <w:szCs w:val="21"/>
              </w:rPr>
              <w:t>evidence?:</w:t>
            </w:r>
            <w:proofErr w:type="gramEnd"/>
          </w:p>
        </w:tc>
        <w:tc>
          <w:tcPr>
            <w:tcW w:w="0" w:type="auto"/>
            <w:tcMar>
              <w:top w:w="120" w:type="dxa"/>
              <w:left w:w="120" w:type="dxa"/>
              <w:bottom w:w="120" w:type="dxa"/>
              <w:right w:w="120" w:type="dxa"/>
            </w:tcMar>
            <w:hideMark/>
          </w:tcPr>
          <w:p w14:paraId="66C95BC8"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Each unit of the Academic Advising Center contributes to our Annual Report. Moving forward, this document will be based on comprehensive program assessment. </w:t>
            </w:r>
          </w:p>
        </w:tc>
      </w:tr>
      <w:tr w:rsidR="00BD43C2" w:rsidRPr="00BD43C2" w14:paraId="62B74A74" w14:textId="77777777" w:rsidTr="00BD43C2">
        <w:tc>
          <w:tcPr>
            <w:tcW w:w="0" w:type="auto"/>
            <w:shd w:val="clear" w:color="auto" w:fill="E5E5E5"/>
            <w:tcMar>
              <w:top w:w="120" w:type="dxa"/>
              <w:left w:w="120" w:type="dxa"/>
              <w:bottom w:w="120" w:type="dxa"/>
              <w:right w:w="120" w:type="dxa"/>
            </w:tcMar>
            <w:hideMark/>
          </w:tcPr>
          <w:p w14:paraId="175AF42E"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 xml:space="preserve">Who writes your assessment </w:t>
            </w:r>
            <w:proofErr w:type="gramStart"/>
            <w:r w:rsidRPr="00BD43C2">
              <w:rPr>
                <w:rFonts w:ascii="Helvetica Neue" w:eastAsia="Times New Roman" w:hAnsi="Helvetica Neue" w:cs="Times New Roman"/>
                <w:b/>
                <w:bCs/>
                <w:color w:val="455560"/>
                <w:sz w:val="21"/>
                <w:szCs w:val="21"/>
              </w:rPr>
              <w:t>report?:</w:t>
            </w:r>
            <w:proofErr w:type="gramEnd"/>
          </w:p>
        </w:tc>
        <w:tc>
          <w:tcPr>
            <w:tcW w:w="0" w:type="auto"/>
            <w:shd w:val="clear" w:color="auto" w:fill="E5E5E5"/>
            <w:tcMar>
              <w:top w:w="120" w:type="dxa"/>
              <w:left w:w="120" w:type="dxa"/>
              <w:bottom w:w="120" w:type="dxa"/>
              <w:right w:w="120" w:type="dxa"/>
            </w:tcMar>
            <w:hideMark/>
          </w:tcPr>
          <w:p w14:paraId="17563EE3"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 xml:space="preserve">All members of the AAC </w:t>
            </w:r>
            <w:proofErr w:type="spellStart"/>
            <w:r w:rsidRPr="00BD43C2">
              <w:rPr>
                <w:rFonts w:ascii="Helvetica Neue" w:eastAsia="Times New Roman" w:hAnsi="Helvetica Neue" w:cs="Times New Roman"/>
                <w:color w:val="455560"/>
                <w:sz w:val="21"/>
                <w:szCs w:val="21"/>
              </w:rPr>
              <w:t>staf</w:t>
            </w:r>
            <w:proofErr w:type="spellEnd"/>
            <w:r w:rsidRPr="00BD43C2">
              <w:rPr>
                <w:rFonts w:ascii="Helvetica Neue" w:eastAsia="Times New Roman" w:hAnsi="Helvetica Neue" w:cs="Times New Roman"/>
                <w:color w:val="455560"/>
                <w:sz w:val="21"/>
                <w:szCs w:val="21"/>
              </w:rPr>
              <w:t xml:space="preserve"> contribute to the annual report.</w:t>
            </w:r>
          </w:p>
        </w:tc>
      </w:tr>
      <w:tr w:rsidR="00BD43C2" w:rsidRPr="00BD43C2" w14:paraId="6C910B2B" w14:textId="77777777" w:rsidTr="00BD43C2">
        <w:tc>
          <w:tcPr>
            <w:tcW w:w="0" w:type="auto"/>
            <w:tcMar>
              <w:top w:w="120" w:type="dxa"/>
              <w:left w:w="120" w:type="dxa"/>
              <w:bottom w:w="120" w:type="dxa"/>
              <w:right w:w="120" w:type="dxa"/>
            </w:tcMar>
            <w:hideMark/>
          </w:tcPr>
          <w:p w14:paraId="2CB022A0"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 xml:space="preserve">Who reads your assessment </w:t>
            </w:r>
            <w:proofErr w:type="gramStart"/>
            <w:r w:rsidRPr="00BD43C2">
              <w:rPr>
                <w:rFonts w:ascii="Helvetica Neue" w:eastAsia="Times New Roman" w:hAnsi="Helvetica Neue" w:cs="Times New Roman"/>
                <w:b/>
                <w:bCs/>
                <w:color w:val="455560"/>
                <w:sz w:val="21"/>
                <w:szCs w:val="21"/>
              </w:rPr>
              <w:t>report?:</w:t>
            </w:r>
            <w:proofErr w:type="gramEnd"/>
          </w:p>
        </w:tc>
        <w:tc>
          <w:tcPr>
            <w:tcW w:w="0" w:type="auto"/>
            <w:tcMar>
              <w:top w:w="120" w:type="dxa"/>
              <w:left w:w="120" w:type="dxa"/>
              <w:bottom w:w="120" w:type="dxa"/>
              <w:right w:w="120" w:type="dxa"/>
            </w:tcMar>
            <w:hideMark/>
          </w:tcPr>
          <w:p w14:paraId="7C2D2FD5"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The report is submitted for review to Undergraduate Studies; it is also published on our website.</w:t>
            </w:r>
          </w:p>
        </w:tc>
      </w:tr>
      <w:tr w:rsidR="00BD43C2" w:rsidRPr="00BD43C2" w14:paraId="25138857" w14:textId="77777777" w:rsidTr="00BD43C2">
        <w:tc>
          <w:tcPr>
            <w:tcW w:w="0" w:type="auto"/>
            <w:shd w:val="clear" w:color="auto" w:fill="E5E5E5"/>
            <w:tcMar>
              <w:top w:w="120" w:type="dxa"/>
              <w:left w:w="120" w:type="dxa"/>
              <w:bottom w:w="120" w:type="dxa"/>
              <w:right w:w="120" w:type="dxa"/>
            </w:tcMar>
            <w:hideMark/>
          </w:tcPr>
          <w:p w14:paraId="13665627"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 xml:space="preserve">Who acts on the assessment </w:t>
            </w:r>
            <w:proofErr w:type="gramStart"/>
            <w:r w:rsidRPr="00BD43C2">
              <w:rPr>
                <w:rFonts w:ascii="Helvetica Neue" w:eastAsia="Times New Roman" w:hAnsi="Helvetica Neue" w:cs="Times New Roman"/>
                <w:b/>
                <w:bCs/>
                <w:color w:val="455560"/>
                <w:sz w:val="21"/>
                <w:szCs w:val="21"/>
              </w:rPr>
              <w:t>report?:</w:t>
            </w:r>
            <w:proofErr w:type="gramEnd"/>
          </w:p>
        </w:tc>
        <w:tc>
          <w:tcPr>
            <w:tcW w:w="0" w:type="auto"/>
            <w:shd w:val="clear" w:color="auto" w:fill="E5E5E5"/>
            <w:tcMar>
              <w:top w:w="120" w:type="dxa"/>
              <w:left w:w="120" w:type="dxa"/>
              <w:bottom w:w="120" w:type="dxa"/>
              <w:right w:w="120" w:type="dxa"/>
            </w:tcMar>
            <w:hideMark/>
          </w:tcPr>
          <w:p w14:paraId="5803CE70"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The Annual Report help guide our priorities and goals for the upcoming year.</w:t>
            </w:r>
          </w:p>
        </w:tc>
      </w:tr>
      <w:tr w:rsidR="00BD43C2" w:rsidRPr="00BD43C2" w14:paraId="28E32906" w14:textId="77777777" w:rsidTr="00BD43C2">
        <w:tc>
          <w:tcPr>
            <w:tcW w:w="0" w:type="auto"/>
            <w:tcMar>
              <w:top w:w="120" w:type="dxa"/>
              <w:left w:w="120" w:type="dxa"/>
              <w:bottom w:w="120" w:type="dxa"/>
              <w:right w:w="120" w:type="dxa"/>
            </w:tcMar>
            <w:hideMark/>
          </w:tcPr>
          <w:p w14:paraId="7962296D"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Submitter Name:</w:t>
            </w:r>
          </w:p>
        </w:tc>
        <w:tc>
          <w:tcPr>
            <w:tcW w:w="0" w:type="auto"/>
            <w:tcMar>
              <w:top w:w="120" w:type="dxa"/>
              <w:left w:w="120" w:type="dxa"/>
              <w:bottom w:w="120" w:type="dxa"/>
              <w:right w:w="120" w:type="dxa"/>
            </w:tcMar>
            <w:hideMark/>
          </w:tcPr>
          <w:p w14:paraId="45DC20CD" w14:textId="77777777" w:rsidR="00BD43C2" w:rsidRPr="00BD43C2" w:rsidRDefault="00BD43C2" w:rsidP="00BD43C2">
            <w:pPr>
              <w:rPr>
                <w:rFonts w:ascii="Helvetica Neue" w:eastAsia="Times New Roman" w:hAnsi="Helvetica Neue" w:cs="Times New Roman"/>
                <w:color w:val="455560"/>
                <w:sz w:val="21"/>
                <w:szCs w:val="21"/>
              </w:rPr>
            </w:pPr>
            <w:r w:rsidRPr="00BD43C2">
              <w:rPr>
                <w:rFonts w:ascii="Helvetica Neue" w:eastAsia="Times New Roman" w:hAnsi="Helvetica Neue" w:cs="Times New Roman"/>
                <w:color w:val="455560"/>
                <w:sz w:val="21"/>
                <w:szCs w:val="21"/>
              </w:rPr>
              <w:t>Beth Howard</w:t>
            </w:r>
          </w:p>
        </w:tc>
      </w:tr>
      <w:tr w:rsidR="00BD43C2" w:rsidRPr="00BD43C2" w14:paraId="40E4DE05" w14:textId="77777777" w:rsidTr="00BD43C2">
        <w:tc>
          <w:tcPr>
            <w:tcW w:w="0" w:type="auto"/>
            <w:shd w:val="clear" w:color="auto" w:fill="E5E5E5"/>
            <w:tcMar>
              <w:top w:w="120" w:type="dxa"/>
              <w:left w:w="120" w:type="dxa"/>
              <w:bottom w:w="120" w:type="dxa"/>
              <w:right w:w="120" w:type="dxa"/>
            </w:tcMar>
            <w:hideMark/>
          </w:tcPr>
          <w:p w14:paraId="2DA988C6" w14:textId="77777777" w:rsidR="00BD43C2" w:rsidRPr="00BD43C2" w:rsidRDefault="00BD43C2" w:rsidP="00BD43C2">
            <w:pPr>
              <w:rPr>
                <w:rFonts w:ascii="Helvetica Neue" w:eastAsia="Times New Roman" w:hAnsi="Helvetica Neue" w:cs="Times New Roman"/>
                <w:b/>
                <w:bCs/>
                <w:color w:val="455560"/>
                <w:sz w:val="21"/>
                <w:szCs w:val="21"/>
              </w:rPr>
            </w:pPr>
            <w:r w:rsidRPr="00BD43C2">
              <w:rPr>
                <w:rFonts w:ascii="Helvetica Neue" w:eastAsia="Times New Roman" w:hAnsi="Helvetica Neue" w:cs="Times New Roman"/>
                <w:b/>
                <w:bCs/>
                <w:color w:val="455560"/>
                <w:sz w:val="21"/>
                <w:szCs w:val="21"/>
              </w:rPr>
              <w:t>Submitter Email:</w:t>
            </w:r>
          </w:p>
        </w:tc>
        <w:tc>
          <w:tcPr>
            <w:tcW w:w="0" w:type="auto"/>
            <w:shd w:val="clear" w:color="auto" w:fill="E5E5E5"/>
            <w:tcMar>
              <w:top w:w="120" w:type="dxa"/>
              <w:left w:w="120" w:type="dxa"/>
              <w:bottom w:w="120" w:type="dxa"/>
              <w:right w:w="120" w:type="dxa"/>
            </w:tcMar>
            <w:hideMark/>
          </w:tcPr>
          <w:p w14:paraId="5BF0D33E" w14:textId="77777777" w:rsidR="00BD43C2" w:rsidRPr="00BD43C2" w:rsidRDefault="00BD43C2" w:rsidP="00BD43C2">
            <w:pPr>
              <w:rPr>
                <w:rFonts w:ascii="Helvetica Neue" w:eastAsia="Times New Roman" w:hAnsi="Helvetica Neue" w:cs="Times New Roman"/>
                <w:color w:val="455560"/>
                <w:sz w:val="21"/>
                <w:szCs w:val="21"/>
              </w:rPr>
            </w:pPr>
            <w:hyperlink r:id="rId4" w:history="1">
              <w:r w:rsidRPr="00BD43C2">
                <w:rPr>
                  <w:rFonts w:ascii="Helvetica Neue" w:eastAsia="Times New Roman" w:hAnsi="Helvetica Neue" w:cs="Times New Roman"/>
                  <w:color w:val="0000FF"/>
                  <w:sz w:val="21"/>
                  <w:szCs w:val="21"/>
                  <w:u w:val="single"/>
                </w:rPr>
                <w:t>bhoward@advising.utah.edu</w:t>
              </w:r>
            </w:hyperlink>
          </w:p>
        </w:tc>
      </w:tr>
    </w:tbl>
    <w:p w14:paraId="27264042" w14:textId="77777777" w:rsidR="00C02054" w:rsidRDefault="00C02054">
      <w:bookmarkStart w:id="0" w:name="_GoBack"/>
      <w:bookmarkEnd w:id="0"/>
    </w:p>
    <w:sectPr w:rsidR="00C02054" w:rsidSect="00512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C2"/>
    <w:rsid w:val="002E05F4"/>
    <w:rsid w:val="005123BF"/>
    <w:rsid w:val="00BD43C2"/>
    <w:rsid w:val="00C020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1092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BD43C2"/>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D43C2"/>
    <w:rPr>
      <w:rFonts w:ascii="Times New Roman" w:hAnsi="Times New Roman" w:cs="Times New Roman"/>
      <w:b/>
      <w:bCs/>
      <w:sz w:val="20"/>
      <w:szCs w:val="20"/>
    </w:rPr>
  </w:style>
  <w:style w:type="character" w:customStyle="1" w:styleId="date-subheader">
    <w:name w:val="date-subheader"/>
    <w:basedOn w:val="DefaultParagraphFont"/>
    <w:rsid w:val="00BD43C2"/>
  </w:style>
  <w:style w:type="character" w:customStyle="1" w:styleId="apple-converted-space">
    <w:name w:val="apple-converted-space"/>
    <w:basedOn w:val="DefaultParagraphFont"/>
    <w:rsid w:val="00BD43C2"/>
  </w:style>
  <w:style w:type="character" w:styleId="Hyperlink">
    <w:name w:val="Hyperlink"/>
    <w:basedOn w:val="DefaultParagraphFont"/>
    <w:uiPriority w:val="99"/>
    <w:semiHidden/>
    <w:unhideWhenUsed/>
    <w:rsid w:val="00BD4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878268">
      <w:bodyDiv w:val="1"/>
      <w:marLeft w:val="0"/>
      <w:marRight w:val="0"/>
      <w:marTop w:val="0"/>
      <w:marBottom w:val="0"/>
      <w:divBdr>
        <w:top w:val="none" w:sz="0" w:space="0" w:color="auto"/>
        <w:left w:val="none" w:sz="0" w:space="0" w:color="auto"/>
        <w:bottom w:val="none" w:sz="0" w:space="0" w:color="auto"/>
        <w:right w:val="none" w:sz="0" w:space="0" w:color="auto"/>
      </w:divBdr>
      <w:divsChild>
        <w:div w:id="2957944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bhoward@advising.utah.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Macintosh Word</Application>
  <DocSecurity>0</DocSecurity>
  <Lines>27</Lines>
  <Paragraphs>7</Paragraphs>
  <ScaleCrop>false</ScaleCrop>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2017-04-19T14:52:00Z</dcterms:created>
  <dcterms:modified xsi:type="dcterms:W3CDTF">2017-04-19T14:52:00Z</dcterms:modified>
</cp:coreProperties>
</file>